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OUTREACH WORKER TEENAGE PARENT PROGRAM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cooperatively as a team member to facilitate the successful daily operation of the school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the planning and implementation of ad hoc student enrichment programs and shares appropriate information with other school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Facilitates student group discussions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Makes home visits and telephone calls regarding student attendance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supportive services to students to prevent chronic absences, tardies and dropouts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documentation, case folders and confidential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Providing support which may include but not limited to driving the school van or activity bus for the following: School Programs, Field Trips, Leaving 2 Learn, Internships, Job Shadowing, and transporting students to and from school as needed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