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SECRETARY I SCHOOL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secretarial duties for the Principal and other administrative staff and organizes and coordinates functions and duties of other clerks and bookkeepers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Receives messages and communicates via the telephone with parents, general public, and school system personnel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Serves as a receptionist for Principal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Assumes responsibility for establishing and maintaining appropriate records and files; prepares and submits reports to the system-wide service offices, and other offices and agencies as necessary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Implements approved office policies and procedures under the direction of the Principal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Ensures that the school register is available and kept up-to-date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in maintaining school cost center budgets as related to ordering, receiving and distribution of office materials and supplies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correspondence, reports, forms and materials for duplication and distribution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office machines and equipment necessary for the efficient operation of the school office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the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