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TECHNICIAN FIELD NUTRITION SERVICES</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Represents Nutrition Services to other teams and business owners, effectively, professionally and respectfully; works cooperatively with peers and superiors to cross train, and to deliver excellent customer service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Researches, gathers and shares knowledge to develop better processes and creative solutions that improve technical support and streamline technology support operations on a continual basis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Installs, maintains, upgrades/updates and repairs Nutrition Services equipment, legacy /VoIP telephones, business machines, networking and wireless equipment, electronic equipment associated with access contrail, interactive and other audio visual classroom equipment and all associated peripherals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Assists the  Nutrition team with installation, upgrade, and maintenance of all networking peripherals including but not limited to cabling, ports, switches, patch panels and wireless access points and uses appropriate tools when provided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Provides support for the District's Nutrition Services products and services, including answering questions, interpreting schematics, troubleshooting problems, teaching or instructing customer regarding software or hardware functionality, and in communicating policies and best practices that promote information security and child nutrition program compliance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Provides assistance and guidance on new technology purchased with federal funding throughout District, as well as maintains site inventory</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Communicates effectively and routinely with District staff and end users on District Nutrition Services technology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Follows change management protocols, policies, procedures and performance standards and maintains accurate and well-organized inventory in fleet vehicle and keeps vehicle clean at all times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Preforms proper sanitation and disposal of technology equipment per District policy and procedures and provides preventative maintenance, corrective repair services and verifies all of the work performed for accuracy and proper operation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assigned tasks in a timely manner and effectively utilizes the ticketing system platform as required by management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Stays current on certification(s) by successfully completing updates certification</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Works closely with the management and other team leadership to support infrastructure related tasks, including, but not limited to , scripting virtual desktop infrastructure, data forensics, VoIP and other Active Directory related tasks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 and other compliance requirements as assigned and by the designated deadline and stays current with certification(s) which may include out of town travel</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