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SECONDARY SCHOOL ATTENDANCE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Reports to the proper school authorities all information regarding pupil attendance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local school administration in coordinating school and District attendance improvement programs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Initiates all necessary computer operations related to student attendance or student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Monitors the daily attendance of students, including class attendance and tardies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Contacts parents regarding suspected student truancy or other attendance related programs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contact with school administration, teachers and pupil personnel staff regarding student attendance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Coordinates use of volunteers in assisting school attendance programs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entry and/or withdrawal scan sheets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all necessary daily and monthly attendance reports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assignment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